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1C829" w14:textId="607442E0" w:rsidR="005E43A7" w:rsidRPr="00CA6B72" w:rsidRDefault="005E43A7" w:rsidP="005E43A7">
      <w:pPr>
        <w:jc w:val="left"/>
        <w:rPr>
          <w:rFonts w:ascii="Arial" w:eastAsia="MS Mincho" w:hAnsi="Arial"/>
          <w:b/>
          <w:sz w:val="24"/>
          <w:szCs w:val="24"/>
          <w:lang w:eastAsia="x-none"/>
        </w:rPr>
      </w:pPr>
      <w:r w:rsidRPr="00CA6B72">
        <w:rPr>
          <w:rFonts w:ascii="Arial" w:eastAsia="MS Mincho" w:hAnsi="Arial"/>
          <w:b/>
          <w:sz w:val="24"/>
          <w:szCs w:val="24"/>
          <w:lang w:eastAsia="x-none"/>
        </w:rPr>
        <w:t>3GPP TSG RAN WG2 Meeting #107</w:t>
      </w:r>
      <w:r w:rsidR="00BC10D3" w:rsidRPr="00CA6B72">
        <w:rPr>
          <w:rFonts w:ascii="Arial" w:eastAsia="MS Mincho" w:hAnsi="Arial"/>
          <w:b/>
          <w:sz w:val="24"/>
          <w:szCs w:val="24"/>
          <w:lang w:eastAsia="x-none"/>
        </w:rPr>
        <w:t xml:space="preserve">bis           </w:t>
      </w:r>
      <w:r w:rsidRPr="00CA6B72">
        <w:rPr>
          <w:rFonts w:ascii="Arial" w:eastAsia="MS Mincho" w:hAnsi="Arial"/>
          <w:b/>
          <w:sz w:val="24"/>
          <w:szCs w:val="24"/>
          <w:lang w:eastAsia="x-none"/>
        </w:rPr>
        <w:t xml:space="preserve">      </w:t>
      </w:r>
      <w:r w:rsidRPr="00CA6B72">
        <w:rPr>
          <w:rFonts w:ascii="Arial" w:eastAsia="MS Mincho" w:hAnsi="Arial"/>
          <w:b/>
          <w:sz w:val="24"/>
          <w:szCs w:val="24"/>
          <w:lang w:eastAsia="x-none"/>
        </w:rPr>
        <w:tab/>
        <w:t xml:space="preserve">    </w:t>
      </w:r>
      <w:r w:rsidRPr="00CA6B72">
        <w:rPr>
          <w:rFonts w:ascii="Arial" w:eastAsia="MS Mincho" w:hAnsi="Arial"/>
          <w:b/>
          <w:sz w:val="24"/>
          <w:szCs w:val="24"/>
          <w:lang w:eastAsia="x-none"/>
        </w:rPr>
        <w:tab/>
        <w:t xml:space="preserve">     </w:t>
      </w:r>
      <w:r w:rsidR="00BC10D3" w:rsidRPr="00CA6B72">
        <w:rPr>
          <w:rFonts w:ascii="Arial" w:eastAsia="MS Mincho" w:hAnsi="Arial"/>
          <w:b/>
          <w:sz w:val="24"/>
          <w:szCs w:val="24"/>
          <w:lang w:eastAsia="x-none"/>
        </w:rPr>
        <w:tab/>
      </w:r>
      <w:r w:rsidR="00BC10D3" w:rsidRPr="00CA6B72">
        <w:rPr>
          <w:rFonts w:ascii="Arial" w:eastAsia="MS Mincho" w:hAnsi="Arial"/>
          <w:b/>
          <w:sz w:val="24"/>
          <w:szCs w:val="24"/>
          <w:lang w:eastAsia="x-none"/>
        </w:rPr>
        <w:tab/>
      </w:r>
      <w:r w:rsidRPr="00CA6B72">
        <w:rPr>
          <w:rFonts w:ascii="Arial" w:eastAsia="MS Mincho" w:hAnsi="Arial"/>
          <w:b/>
          <w:sz w:val="24"/>
          <w:szCs w:val="24"/>
          <w:lang w:eastAsia="x-none"/>
        </w:rPr>
        <w:t xml:space="preserve"> R2-</w:t>
      </w:r>
      <w:r w:rsidR="00DD11E7" w:rsidRPr="00CA6B72">
        <w:rPr>
          <w:rFonts w:ascii="Arial" w:eastAsia="MS Mincho" w:hAnsi="Arial"/>
          <w:b/>
          <w:sz w:val="24"/>
          <w:szCs w:val="24"/>
          <w:lang w:eastAsia="x-none"/>
        </w:rPr>
        <w:t>19</w:t>
      </w:r>
      <w:r w:rsidR="00982A33">
        <w:rPr>
          <w:rFonts w:ascii="Arial" w:eastAsia="MS Mincho" w:hAnsi="Arial"/>
          <w:b/>
          <w:sz w:val="24"/>
          <w:szCs w:val="24"/>
          <w:lang w:eastAsia="x-none"/>
        </w:rPr>
        <w:t>12709</w:t>
      </w:r>
    </w:p>
    <w:p w14:paraId="2E989C2C" w14:textId="3CB23083" w:rsidR="005E43A7" w:rsidRDefault="00BC10D3" w:rsidP="005E43A7">
      <w:pPr>
        <w:pStyle w:val="3GPPHeader"/>
        <w:jc w:val="right"/>
        <w:rPr>
          <w:rFonts w:eastAsia="MS Mincho"/>
          <w:szCs w:val="24"/>
          <w:lang w:eastAsia="x-none"/>
        </w:rPr>
      </w:pPr>
      <w:r w:rsidRPr="00CA6B72">
        <w:rPr>
          <w:rFonts w:eastAsia="MS Mincho"/>
          <w:szCs w:val="24"/>
          <w:lang w:eastAsia="x-none"/>
        </w:rPr>
        <w:t>Chongqing, China, Oct 14--18,</w:t>
      </w:r>
      <w:r w:rsidR="005E43A7" w:rsidRPr="00CA6B72">
        <w:rPr>
          <w:rFonts w:eastAsia="MS Mincho"/>
          <w:szCs w:val="24"/>
          <w:lang w:eastAsia="x-none"/>
        </w:rPr>
        <w:t xml:space="preserve"> 2019</w:t>
      </w:r>
      <w:r w:rsidR="00C06EF0">
        <w:rPr>
          <w:rFonts w:eastAsia="MS Mincho"/>
          <w:szCs w:val="24"/>
          <w:lang w:eastAsia="x-none"/>
        </w:rPr>
        <w:t xml:space="preserve">     </w:t>
      </w:r>
      <w:r w:rsidR="005E43A7" w:rsidRPr="00751BD7">
        <w:rPr>
          <w:rFonts w:eastAsia="MS Mincho"/>
          <w:szCs w:val="24"/>
          <w:lang w:eastAsia="x-none"/>
        </w:rPr>
        <w:tab/>
      </w:r>
    </w:p>
    <w:p w14:paraId="2FABFE34" w14:textId="0A015007"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BC10D3">
        <w:rPr>
          <w:sz w:val="22"/>
          <w:szCs w:val="22"/>
          <w:lang w:val="sv-SE"/>
        </w:rPr>
        <w:t>6.1.4.1</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6D5730AE" w14:textId="5EEF2188" w:rsidR="005E43A7" w:rsidRPr="00CE0424" w:rsidRDefault="005E43A7" w:rsidP="005E43A7">
      <w:pPr>
        <w:pStyle w:val="3GPPHeader"/>
        <w:jc w:val="left"/>
        <w:rPr>
          <w:sz w:val="22"/>
          <w:szCs w:val="22"/>
        </w:rPr>
      </w:pPr>
      <w:r>
        <w:rPr>
          <w:sz w:val="22"/>
          <w:szCs w:val="22"/>
        </w:rPr>
        <w:t>Title:</w:t>
      </w:r>
      <w:r>
        <w:rPr>
          <w:sz w:val="22"/>
          <w:szCs w:val="22"/>
        </w:rPr>
        <w:tab/>
      </w:r>
      <w:r w:rsidR="00E7677E">
        <w:rPr>
          <w:sz w:val="22"/>
          <w:szCs w:val="22"/>
        </w:rPr>
        <w:t>Uplink latency reduction</w:t>
      </w:r>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AF4FE8" w:rsidRDefault="005E43A7" w:rsidP="005E43A7">
      <w:pPr>
        <w:pStyle w:val="Heading1"/>
      </w:pPr>
      <w:r>
        <w:t>Introduction</w:t>
      </w:r>
    </w:p>
    <w:p w14:paraId="34C9561D" w14:textId="3E400CA6" w:rsidR="00B7094E" w:rsidRPr="00B7094E" w:rsidRDefault="00B7094E" w:rsidP="00B7094E">
      <w:r>
        <w:t>On the topic of uplink latency reduction for IAB, it was agreed in RAN2#107 that:</w:t>
      </w:r>
    </w:p>
    <w:p w14:paraId="16DABE4E" w14:textId="5F3AFD19" w:rsidR="00DD11E7" w:rsidRPr="00B7094E" w:rsidRDefault="00B7094E" w:rsidP="00B7094E">
      <w:pPr>
        <w:pStyle w:val="ListParagraph"/>
        <w:numPr>
          <w:ilvl w:val="0"/>
          <w:numId w:val="9"/>
        </w:numPr>
        <w:rPr>
          <w:lang w:val="en-US"/>
        </w:rPr>
      </w:pPr>
      <w:r>
        <w:rPr>
          <w:lang w:val="en-US"/>
        </w:rPr>
        <w:t>We w</w:t>
      </w:r>
      <w:r w:rsidR="00DD11E7" w:rsidRPr="00B7094E">
        <w:rPr>
          <w:lang w:val="en-US"/>
        </w:rPr>
        <w:t xml:space="preserve">ill have “preemptive” BSR. </w:t>
      </w:r>
    </w:p>
    <w:p w14:paraId="60C37294" w14:textId="56187EEB" w:rsidR="00DD11E7" w:rsidRPr="00B7094E" w:rsidRDefault="00DD11E7" w:rsidP="00B7094E">
      <w:pPr>
        <w:pStyle w:val="ListParagraph"/>
        <w:numPr>
          <w:ilvl w:val="0"/>
          <w:numId w:val="9"/>
        </w:numPr>
        <w:rPr>
          <w:lang w:val="en-US" w:eastAsia="zh-CN"/>
        </w:rPr>
      </w:pPr>
      <w:r w:rsidRPr="00B7094E">
        <w:rPr>
          <w:lang w:val="en-US" w:eastAsia="zh-CN"/>
        </w:rPr>
        <w:t>R</w:t>
      </w:r>
      <w:r w:rsidR="00B7094E">
        <w:rPr>
          <w:lang w:val="en-US" w:eastAsia="zh-CN"/>
        </w:rPr>
        <w:t>AN</w:t>
      </w:r>
      <w:r w:rsidRPr="00B7094E">
        <w:rPr>
          <w:lang w:val="en-US" w:eastAsia="zh-CN"/>
        </w:rPr>
        <w:t>2 assumes that any new triggering rules are only introduced for pre-emptive BSR, i.e. SR triggering is then governed by NR Rel-15 baseline (pre-emptive BSR = regular BSR from SR triggering point of view).</w:t>
      </w:r>
    </w:p>
    <w:p w14:paraId="450F731A" w14:textId="14B7FA4A" w:rsidR="00DD11E7" w:rsidRPr="00B7094E" w:rsidRDefault="00DD11E7" w:rsidP="00B7094E">
      <w:pPr>
        <w:pStyle w:val="ListParagraph"/>
        <w:numPr>
          <w:ilvl w:val="0"/>
          <w:numId w:val="9"/>
        </w:numPr>
        <w:rPr>
          <w:lang w:val="en-US" w:eastAsia="zh-CN"/>
        </w:rPr>
      </w:pPr>
      <w:r w:rsidRPr="00B7094E">
        <w:rPr>
          <w:lang w:val="en-US" w:eastAsia="zh-CN"/>
        </w:rPr>
        <w:t xml:space="preserve">R2 assumes that </w:t>
      </w:r>
      <w:r w:rsidR="00B7094E">
        <w:rPr>
          <w:lang w:val="en-US" w:eastAsia="zh-CN"/>
        </w:rPr>
        <w:t>b</w:t>
      </w:r>
      <w:r w:rsidRPr="00B7094E">
        <w:rPr>
          <w:lang w:val="en-US" w:eastAsia="zh-CN"/>
        </w:rPr>
        <w:t xml:space="preserve">oth types of triggers for pre-emptive BSR that were discussed (1. based on UL grants provided to child nodes and/or UEs, and 2. based on BSRs from child nodes or UEs) can be supported for IAB Rel-16 operation. FFS what details need to be </w:t>
      </w:r>
      <w:proofErr w:type="gramStart"/>
      <w:r w:rsidR="00B7094E">
        <w:rPr>
          <w:lang w:val="en-US" w:eastAsia="zh-CN"/>
        </w:rPr>
        <w:t>specified.</w:t>
      </w:r>
      <w:proofErr w:type="gramEnd"/>
    </w:p>
    <w:p w14:paraId="7B9D74A7" w14:textId="5570D794" w:rsidR="00C71ECA" w:rsidRDefault="00B7094E" w:rsidP="005E43A7">
      <w:r>
        <w:t>In this contribution we address some of the open issues related to uplink latency reduction.</w:t>
      </w:r>
    </w:p>
    <w:p w14:paraId="5BDA5AC3" w14:textId="77777777" w:rsidR="005E43A7" w:rsidRDefault="005E43A7" w:rsidP="005E43A7">
      <w:pPr>
        <w:pStyle w:val="Heading1"/>
      </w:pPr>
      <w:r>
        <w:t>Discussion</w:t>
      </w:r>
    </w:p>
    <w:p w14:paraId="703682AF" w14:textId="77777777" w:rsidR="00B7094E" w:rsidRDefault="00B7094E" w:rsidP="00B7094E">
      <w:pPr>
        <w:pStyle w:val="Heading2"/>
      </w:pPr>
      <w:r>
        <w:t>Coexistence of the two types of triggers</w:t>
      </w:r>
    </w:p>
    <w:p w14:paraId="6AAF923C" w14:textId="77777777" w:rsidR="00B7094E" w:rsidRDefault="00B7094E" w:rsidP="00B7094E">
      <w:r>
        <w:fldChar w:fldCharType="begin"/>
      </w:r>
      <w:r>
        <w:instrText xml:space="preserve"> REF _Ref20418316 \h </w:instrText>
      </w:r>
      <w:r>
        <w:fldChar w:fldCharType="separate"/>
      </w:r>
      <w:r>
        <w:t xml:space="preserve">Figure </w:t>
      </w:r>
      <w:r>
        <w:rPr>
          <w:noProof/>
        </w:rPr>
        <w:t>1</w:t>
      </w:r>
      <w:r>
        <w:fldChar w:fldCharType="end"/>
      </w:r>
      <w:r>
        <w:t xml:space="preserve"> and </w:t>
      </w:r>
      <w:r>
        <w:fldChar w:fldCharType="begin"/>
      </w:r>
      <w:r>
        <w:instrText xml:space="preserve"> REF _Ref20421579 \h </w:instrText>
      </w:r>
      <w:r>
        <w:fldChar w:fldCharType="separate"/>
      </w:r>
      <w:r>
        <w:t xml:space="preserve">Figure </w:t>
      </w:r>
      <w:r>
        <w:rPr>
          <w:noProof/>
        </w:rPr>
        <w:t>2</w:t>
      </w:r>
      <w:r>
        <w:fldChar w:fldCharType="end"/>
      </w:r>
      <w:r>
        <w:t xml:space="preserve"> illustrate the transmission of pre-BSRs based on expected data. </w:t>
      </w:r>
    </w:p>
    <w:p w14:paraId="3FE91BE6" w14:textId="4A0F7FB7" w:rsidR="00B7094E" w:rsidRDefault="00B7094E" w:rsidP="00B7094E">
      <w:r>
        <w:t xml:space="preserve">In </w:t>
      </w:r>
      <w:r>
        <w:fldChar w:fldCharType="begin"/>
      </w:r>
      <w:r>
        <w:instrText xml:space="preserve"> REF _Ref20418316 \h </w:instrText>
      </w:r>
      <w:r>
        <w:fldChar w:fldCharType="separate"/>
      </w:r>
      <w:r>
        <w:t xml:space="preserve">Figure </w:t>
      </w:r>
      <w:r>
        <w:rPr>
          <w:noProof/>
        </w:rPr>
        <w:t>1</w:t>
      </w:r>
      <w:r>
        <w:fldChar w:fldCharType="end"/>
      </w:r>
      <w:r>
        <w:t xml:space="preserve"> IAB node 2 transmits a pre-BSR based on the BSR received from the UE. IAB node 1 transmits a pre-BSR based on the pre-BSR received from IAB node 2. </w:t>
      </w:r>
    </w:p>
    <w:p w14:paraId="4C71CC1D" w14:textId="6CE00F15" w:rsidR="00B7094E" w:rsidRDefault="00B7094E" w:rsidP="00B7094E">
      <w:r>
        <w:t xml:space="preserve">In </w:t>
      </w:r>
      <w:r>
        <w:fldChar w:fldCharType="begin"/>
      </w:r>
      <w:r>
        <w:instrText xml:space="preserve"> REF _Ref20421579 \h </w:instrText>
      </w:r>
      <w:r>
        <w:fldChar w:fldCharType="separate"/>
      </w:r>
      <w:r>
        <w:t xml:space="preserve">Figure </w:t>
      </w:r>
      <w:r>
        <w:rPr>
          <w:noProof/>
        </w:rPr>
        <w:t>2</w:t>
      </w:r>
      <w:r>
        <w:fldChar w:fldCharType="end"/>
      </w:r>
      <w:r>
        <w:t xml:space="preserve"> IAB node 2 transmits a pre-BSR based on the UL grant it transmitted to the UE. IAB node 1 transmits a pre-BSR based on the pre-BSR received from IAB node 2.</w:t>
      </w:r>
    </w:p>
    <w:p w14:paraId="4FA37BFA" w14:textId="7BEFE2EC" w:rsidR="00B7094E" w:rsidRPr="00B7094E" w:rsidRDefault="00B7094E" w:rsidP="00B7094E">
      <w:r>
        <w:t xml:space="preserve">It is clear that both mechanisms for triggering are needed. Triggering pre-BSR as shown in </w:t>
      </w:r>
      <w:r>
        <w:fldChar w:fldCharType="begin"/>
      </w:r>
      <w:r>
        <w:instrText xml:space="preserve"> REF _Ref20418316 \h </w:instrText>
      </w:r>
      <w:r>
        <w:fldChar w:fldCharType="separate"/>
      </w:r>
      <w:r>
        <w:t xml:space="preserve">Figure </w:t>
      </w:r>
      <w:r>
        <w:rPr>
          <w:noProof/>
        </w:rPr>
        <w:t>1</w:t>
      </w:r>
      <w:r>
        <w:fldChar w:fldCharType="end"/>
      </w:r>
      <w:r>
        <w:t xml:space="preserve"> is needed for general user plane data. Triggering pre-BSR as shown in </w:t>
      </w:r>
      <w:r>
        <w:fldChar w:fldCharType="begin"/>
      </w:r>
      <w:r>
        <w:instrText xml:space="preserve"> REF _Ref20421579 \h </w:instrText>
      </w:r>
      <w:r>
        <w:fldChar w:fldCharType="separate"/>
      </w:r>
      <w:r>
        <w:t xml:space="preserve">Figure </w:t>
      </w:r>
      <w:r>
        <w:rPr>
          <w:noProof/>
        </w:rPr>
        <w:t>2</w:t>
      </w:r>
      <w:r>
        <w:fldChar w:fldCharType="end"/>
      </w:r>
      <w:r>
        <w:t xml:space="preserve"> is needed for cases where the BSR may not be received before the data (for example, </w:t>
      </w:r>
      <w:r>
        <w:rPr>
          <w:i/>
        </w:rPr>
        <w:t>for RRC messages</w:t>
      </w:r>
      <w:r>
        <w:t>, where latency is particularly important).</w:t>
      </w:r>
    </w:p>
    <w:p w14:paraId="041D3994" w14:textId="77777777" w:rsidR="00B7094E" w:rsidRDefault="00B7094E" w:rsidP="00B7094E"/>
    <w:p w14:paraId="0A3455D2" w14:textId="77777777" w:rsidR="00B7094E" w:rsidRDefault="00B7094E" w:rsidP="00B7094E">
      <w:pPr>
        <w:keepNext/>
        <w:jc w:val="center"/>
      </w:pPr>
      <w:r>
        <w:object w:dxaOrig="10549" w:dyaOrig="4980" w14:anchorId="39764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49.4pt" o:ole="">
            <v:imagedata r:id="rId5" o:title=""/>
          </v:shape>
          <o:OLEObject Type="Embed" ProgID="Visio.Drawing.15" ShapeID="_x0000_i1025" DrawAspect="Content" ObjectID="_1631561229" r:id="rId6"/>
        </w:object>
      </w:r>
    </w:p>
    <w:p w14:paraId="53AF17EA" w14:textId="14CD0247" w:rsidR="00B7094E" w:rsidRDefault="00B7094E" w:rsidP="00B7094E">
      <w:pPr>
        <w:jc w:val="center"/>
      </w:pPr>
      <w:bookmarkStart w:id="0" w:name="_Ref20418316"/>
      <w:r>
        <w:t xml:space="preserve">Figure </w:t>
      </w:r>
      <w:r>
        <w:fldChar w:fldCharType="begin"/>
      </w:r>
      <w:r>
        <w:instrText xml:space="preserve"> SEQ Figure \* ARABIC </w:instrText>
      </w:r>
      <w:r>
        <w:fldChar w:fldCharType="separate"/>
      </w:r>
      <w:r>
        <w:rPr>
          <w:noProof/>
        </w:rPr>
        <w:t>1</w:t>
      </w:r>
      <w:r>
        <w:fldChar w:fldCharType="end"/>
      </w:r>
      <w:bookmarkEnd w:id="0"/>
    </w:p>
    <w:p w14:paraId="7AB775CD" w14:textId="77777777" w:rsidR="00B7094E" w:rsidRDefault="00B7094E" w:rsidP="00B7094E">
      <w:pPr>
        <w:keepNext/>
        <w:jc w:val="center"/>
      </w:pPr>
      <w:r>
        <w:object w:dxaOrig="10549" w:dyaOrig="4980" w14:anchorId="6FA00243">
          <v:shape id="_x0000_i1026" type="#_x0000_t75" style="width:316.2pt;height:149.4pt" o:ole="">
            <v:imagedata r:id="rId7" o:title=""/>
          </v:shape>
          <o:OLEObject Type="Embed" ProgID="Visio.Drawing.15" ShapeID="_x0000_i1026" DrawAspect="Content" ObjectID="_1631561230" r:id="rId8"/>
        </w:object>
      </w:r>
    </w:p>
    <w:p w14:paraId="17607F44" w14:textId="1CF3F0AD" w:rsidR="00B7094E" w:rsidRPr="00B7094E" w:rsidRDefault="00B7094E" w:rsidP="00B7094E">
      <w:pPr>
        <w:pStyle w:val="Caption"/>
        <w:jc w:val="center"/>
      </w:pPr>
      <w:bookmarkStart w:id="1" w:name="_Ref20421579"/>
      <w:r>
        <w:t xml:space="preserve">Figure </w:t>
      </w:r>
      <w:r>
        <w:fldChar w:fldCharType="begin"/>
      </w:r>
      <w:r>
        <w:instrText xml:space="preserve"> SEQ Figure \* ARABIC </w:instrText>
      </w:r>
      <w:r>
        <w:fldChar w:fldCharType="separate"/>
      </w:r>
      <w:r>
        <w:rPr>
          <w:noProof/>
        </w:rPr>
        <w:t>2</w:t>
      </w:r>
      <w:r>
        <w:fldChar w:fldCharType="end"/>
      </w:r>
      <w:bookmarkEnd w:id="1"/>
    </w:p>
    <w:p w14:paraId="3CE18413" w14:textId="693EEA21" w:rsidR="00B7094E" w:rsidRDefault="00B7094E" w:rsidP="00BC10D3">
      <w:r>
        <w:t xml:space="preserve">Given that both triggering mechanisms are supported it is necessary to define how the two mechanisms coexist. </w:t>
      </w:r>
    </w:p>
    <w:p w14:paraId="1165FAC6" w14:textId="4344FA07" w:rsidR="00B7094E" w:rsidRPr="00B7094E" w:rsidRDefault="00B7094E" w:rsidP="00BC10D3">
      <w:pPr>
        <w:rPr>
          <w:b/>
          <w:i/>
        </w:rPr>
      </w:pPr>
      <w:r w:rsidRPr="00B7094E">
        <w:rPr>
          <w:b/>
          <w:i/>
        </w:rPr>
        <w:t xml:space="preserve">Proposal 1: If a BSR or a pre-BSR is received, an IAB node MT can trigger a pre-BSR on the basis of the received BSR or pre-BSR. </w:t>
      </w:r>
    </w:p>
    <w:p w14:paraId="4C82FF52" w14:textId="7D1EFC75" w:rsidR="00B7094E" w:rsidRPr="00B7094E" w:rsidRDefault="00B7094E" w:rsidP="00BC10D3">
      <w:pPr>
        <w:rPr>
          <w:b/>
          <w:i/>
        </w:rPr>
      </w:pPr>
      <w:r w:rsidRPr="00B7094E">
        <w:rPr>
          <w:b/>
          <w:i/>
        </w:rPr>
        <w:t>Proposal 2: If a BSR is not received and the IAB node provides an uplink grant to a child node or a UE, it can trigger a pre-BSR on the basis of the uplink grant.</w:t>
      </w:r>
    </w:p>
    <w:p w14:paraId="1FF33566" w14:textId="7B00DB56" w:rsidR="00B7094E" w:rsidRDefault="00B7094E" w:rsidP="00BC10D3">
      <w:pPr>
        <w:rPr>
          <w:b/>
          <w:i/>
        </w:rPr>
      </w:pPr>
      <w:r>
        <w:t xml:space="preserve">In </w:t>
      </w:r>
      <w:r>
        <w:fldChar w:fldCharType="begin"/>
      </w:r>
      <w:r>
        <w:instrText xml:space="preserve"> REF _Ref20418316 \h </w:instrText>
      </w:r>
      <w:r>
        <w:fldChar w:fldCharType="separate"/>
      </w:r>
      <w:r>
        <w:t xml:space="preserve">Figure </w:t>
      </w:r>
      <w:r>
        <w:rPr>
          <w:noProof/>
        </w:rPr>
        <w:t>1</w:t>
      </w:r>
      <w:r>
        <w:fldChar w:fldCharType="end"/>
      </w:r>
      <w:r>
        <w:t xml:space="preserve">, at IAB node 2, when the PDU is received, the normal UE procedure would consist of triggering a BSR. In this case however, a resource request corresponding to the PDU has already been included in the pre-BSR. Therefore, the MT of IAB node 2 should not trigger a BSR. </w:t>
      </w:r>
    </w:p>
    <w:p w14:paraId="52B79F04" w14:textId="7948F9AF" w:rsidR="00387541" w:rsidRPr="00B7094E" w:rsidRDefault="00387541" w:rsidP="00BC10D3">
      <w:pPr>
        <w:rPr>
          <w:b/>
          <w:i/>
        </w:rPr>
      </w:pPr>
      <w:r>
        <w:rPr>
          <w:b/>
          <w:i/>
        </w:rPr>
        <w:t xml:space="preserve">Proposal 3: </w:t>
      </w:r>
      <w:r w:rsidR="002507CE">
        <w:rPr>
          <w:b/>
          <w:i/>
        </w:rPr>
        <w:t xml:space="preserve">Actual data arrival corresponding to an expected data arrival event (either reception of a BSR or transmission of an UL grant) does not trigger a BSR if the expected data arrival event triggered a pre-BSR. </w:t>
      </w:r>
    </w:p>
    <w:p w14:paraId="6E7F6FDD" w14:textId="0DCD39B0" w:rsidR="00C72092" w:rsidRDefault="00AF4FE8" w:rsidP="00AF4FE8">
      <w:pPr>
        <w:pStyle w:val="Heading2"/>
      </w:pPr>
      <w:r>
        <w:t>Differentiation of buffered data from expected data</w:t>
      </w:r>
    </w:p>
    <w:p w14:paraId="6A53BAE9" w14:textId="5F99AAF1" w:rsidR="00B7094E" w:rsidRDefault="00B7094E" w:rsidP="00AF4FE8">
      <w:r>
        <w:t xml:space="preserve">One of the issues discussed in the email discussion </w:t>
      </w:r>
      <w:r>
        <w:fldChar w:fldCharType="begin"/>
      </w:r>
      <w:r>
        <w:instrText xml:space="preserve"> REF _Ref17276628 \r \h </w:instrText>
      </w:r>
      <w:r>
        <w:fldChar w:fldCharType="separate"/>
      </w:r>
      <w:r>
        <w:t>[1]</w:t>
      </w:r>
      <w:r>
        <w:fldChar w:fldCharType="end"/>
      </w:r>
      <w:r>
        <w:t xml:space="preserve"> was the need to differentiate between buffered data and expected data at a node. This differentiation could be done by defining a new BSR MAC CE for the pre-BSR. The main rationale mentioned for the differentiation was that the upstream nodes could do </w:t>
      </w:r>
      <w:r>
        <w:lastRenderedPageBreak/>
        <w:t xml:space="preserve">scheduling differently based on knowing that the reported information is for expected rather than buffered data. Some companies have mentioned that given that there is some timing uncertainty in the reception of the data, knowledge of buffered vs expected data can help (i.e., scheduling can be altered to minimize radio resource waste). </w:t>
      </w:r>
    </w:p>
    <w:p w14:paraId="253FD723" w14:textId="28398DF0" w:rsidR="00B7094E" w:rsidRDefault="00B7094E" w:rsidP="00AF4FE8">
      <w:r>
        <w:t xml:space="preserve">It is clear that knowledge of buffered vs expected data cannot help with the timing uncertainty. Any scheduling modifications based on </w:t>
      </w:r>
      <w:r w:rsidR="009A3EAA">
        <w:t>such</w:t>
      </w:r>
      <w:r>
        <w:t xml:space="preserve"> knowledge will require significant analysis to even show that there are any benefits.</w:t>
      </w:r>
    </w:p>
    <w:p w14:paraId="5147DD60" w14:textId="3B9713E4" w:rsidR="00AF4FE8" w:rsidRDefault="00B7094E" w:rsidP="00AF4FE8">
      <w:r>
        <w:t xml:space="preserve">While there can be some uncertainty in the time at which data actually arrives at a node, it is not clear that this is a significant problem. If an UL grant is received when the PDU is not yet available, the corresponding UL transmission can be </w:t>
      </w:r>
      <w:proofErr w:type="spellStart"/>
      <w:r>
        <w:t>DTXed</w:t>
      </w:r>
      <w:proofErr w:type="spellEnd"/>
      <w:r>
        <w:t xml:space="preserve">, resulting in the parent node providing another UL grant (the DTX event is considered a NACK). </w:t>
      </w:r>
    </w:p>
    <w:p w14:paraId="2DE2EB98" w14:textId="1868D1F8" w:rsidR="00B7094E" w:rsidRPr="00B7094E" w:rsidRDefault="00B7094E" w:rsidP="00AF4FE8">
      <w:pPr>
        <w:rPr>
          <w:b/>
          <w:i/>
        </w:rPr>
      </w:pPr>
      <w:r w:rsidRPr="00B7094E">
        <w:rPr>
          <w:b/>
          <w:i/>
        </w:rPr>
        <w:t>Proposal 4: Buffered data is not distinguished from expected data.</w:t>
      </w:r>
    </w:p>
    <w:p w14:paraId="4D048B43" w14:textId="52346302" w:rsidR="00AF4FE8" w:rsidRPr="00A00D60" w:rsidRDefault="00B7094E" w:rsidP="00A00D60">
      <w:pPr>
        <w:rPr>
          <w:b/>
          <w:i/>
        </w:rPr>
      </w:pPr>
      <w:r w:rsidRPr="00B7094E">
        <w:rPr>
          <w:b/>
          <w:i/>
        </w:rPr>
        <w:t>Proposal 5: The existing BSR MAC CE format is used for pre-BSR.</w:t>
      </w:r>
      <w:bookmarkStart w:id="2" w:name="_GoBack"/>
      <w:bookmarkEnd w:id="2"/>
    </w:p>
    <w:p w14:paraId="152ACB43" w14:textId="6E62FD6D" w:rsidR="00AF4FE8" w:rsidRDefault="00A00D60" w:rsidP="00A00D60">
      <w:pPr>
        <w:pStyle w:val="Heading1"/>
      </w:pPr>
      <w:r>
        <w:t>Conclusion</w:t>
      </w:r>
    </w:p>
    <w:p w14:paraId="5A49873A" w14:textId="02190401" w:rsidR="00A00D60" w:rsidRDefault="009C0926" w:rsidP="00A00D60">
      <w:r>
        <w:t>In this contribution we analysed some issues related to resource request for expected data at an IAB node. The following are our proposals:</w:t>
      </w:r>
    </w:p>
    <w:p w14:paraId="0E175A9F" w14:textId="77777777" w:rsidR="009C0926" w:rsidRPr="00B7094E" w:rsidRDefault="009C0926" w:rsidP="009C0926">
      <w:pPr>
        <w:rPr>
          <w:b/>
          <w:i/>
        </w:rPr>
      </w:pPr>
      <w:r w:rsidRPr="00B7094E">
        <w:rPr>
          <w:b/>
          <w:i/>
        </w:rPr>
        <w:t xml:space="preserve">Proposal 1: If a BSR or a pre-BSR is received, an IAB node MT can trigger a pre-BSR on the basis of the received BSR or pre-BSR. </w:t>
      </w:r>
    </w:p>
    <w:p w14:paraId="30FC41A1" w14:textId="77777777" w:rsidR="009C0926" w:rsidRPr="00B7094E" w:rsidRDefault="009C0926" w:rsidP="009C0926">
      <w:pPr>
        <w:rPr>
          <w:b/>
          <w:i/>
        </w:rPr>
      </w:pPr>
      <w:r w:rsidRPr="00B7094E">
        <w:rPr>
          <w:b/>
          <w:i/>
        </w:rPr>
        <w:t>Proposal 2: If a BSR is not received and the IAB node provides an uplink grant to a child node or a UE, it can trigger a pre-BSR on the basis of the uplink grant.</w:t>
      </w:r>
    </w:p>
    <w:p w14:paraId="5D211E5D" w14:textId="77777777" w:rsidR="002507CE" w:rsidRPr="00B7094E" w:rsidRDefault="002507CE" w:rsidP="002507CE">
      <w:pPr>
        <w:rPr>
          <w:b/>
          <w:i/>
        </w:rPr>
      </w:pPr>
      <w:r>
        <w:rPr>
          <w:b/>
          <w:i/>
        </w:rPr>
        <w:t xml:space="preserve">Proposal 3: Actual data arrival corresponding to an expected data arrival event (either reception of a BSR or transmission of an UL grant) does not trigger a BSR if the expected data arrival event triggered a pre-BSR. </w:t>
      </w:r>
    </w:p>
    <w:p w14:paraId="2670DA86" w14:textId="77777777" w:rsidR="009C0926" w:rsidRPr="00B7094E" w:rsidRDefault="009C0926" w:rsidP="009C0926">
      <w:pPr>
        <w:rPr>
          <w:b/>
          <w:i/>
        </w:rPr>
      </w:pPr>
      <w:r w:rsidRPr="00B7094E">
        <w:rPr>
          <w:b/>
          <w:i/>
        </w:rPr>
        <w:t>Proposal 4: Buffered data is not distinguished from expected data.</w:t>
      </w:r>
    </w:p>
    <w:p w14:paraId="51984A92" w14:textId="14BB40A8" w:rsidR="009C0926" w:rsidRPr="00982A33" w:rsidRDefault="009C0926" w:rsidP="00A00D60">
      <w:pPr>
        <w:rPr>
          <w:b/>
          <w:i/>
        </w:rPr>
      </w:pPr>
      <w:r w:rsidRPr="00B7094E">
        <w:rPr>
          <w:b/>
          <w:i/>
        </w:rPr>
        <w:t>Proposal 5: The existing BSR MAC CE format is used for pre-BSR.</w:t>
      </w:r>
    </w:p>
    <w:p w14:paraId="2F016FE3"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B0271"/>
    <w:multiLevelType w:val="hybridMultilevel"/>
    <w:tmpl w:val="C28AAEE4"/>
    <w:lvl w:ilvl="0" w:tplc="92ECE22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778DE"/>
    <w:multiLevelType w:val="hybridMultilevel"/>
    <w:tmpl w:val="21E0D5D6"/>
    <w:lvl w:ilvl="0" w:tplc="28BE4E2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3"/>
  </w:num>
  <w:num w:numId="5">
    <w:abstractNumId w:val="8"/>
  </w:num>
  <w:num w:numId="6">
    <w:abstractNumId w:val="5"/>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1771A"/>
    <w:rsid w:val="00055D7C"/>
    <w:rsid w:val="000973A9"/>
    <w:rsid w:val="000A70B6"/>
    <w:rsid w:val="001C0BA2"/>
    <w:rsid w:val="002507CE"/>
    <w:rsid w:val="00297DC9"/>
    <w:rsid w:val="002A16FD"/>
    <w:rsid w:val="002A714D"/>
    <w:rsid w:val="002F327A"/>
    <w:rsid w:val="00336FCE"/>
    <w:rsid w:val="00376D47"/>
    <w:rsid w:val="00387541"/>
    <w:rsid w:val="003E37E9"/>
    <w:rsid w:val="0041213F"/>
    <w:rsid w:val="00430F7C"/>
    <w:rsid w:val="00462D95"/>
    <w:rsid w:val="004A3D24"/>
    <w:rsid w:val="00500CCA"/>
    <w:rsid w:val="005364A7"/>
    <w:rsid w:val="0055044A"/>
    <w:rsid w:val="0055227E"/>
    <w:rsid w:val="005B349A"/>
    <w:rsid w:val="005E43A7"/>
    <w:rsid w:val="00623366"/>
    <w:rsid w:val="00657311"/>
    <w:rsid w:val="006B2AE5"/>
    <w:rsid w:val="006E2F45"/>
    <w:rsid w:val="0078120A"/>
    <w:rsid w:val="00793304"/>
    <w:rsid w:val="00793B90"/>
    <w:rsid w:val="00867DF5"/>
    <w:rsid w:val="008934F7"/>
    <w:rsid w:val="0089546A"/>
    <w:rsid w:val="008B45BC"/>
    <w:rsid w:val="00982A33"/>
    <w:rsid w:val="009A3EAA"/>
    <w:rsid w:val="009A7440"/>
    <w:rsid w:val="009C0926"/>
    <w:rsid w:val="009D7305"/>
    <w:rsid w:val="00A00D60"/>
    <w:rsid w:val="00A152DA"/>
    <w:rsid w:val="00A15DF2"/>
    <w:rsid w:val="00A16C55"/>
    <w:rsid w:val="00AE0048"/>
    <w:rsid w:val="00AF307D"/>
    <w:rsid w:val="00AF4FE8"/>
    <w:rsid w:val="00B00F91"/>
    <w:rsid w:val="00B134C2"/>
    <w:rsid w:val="00B51505"/>
    <w:rsid w:val="00B5199E"/>
    <w:rsid w:val="00B7094E"/>
    <w:rsid w:val="00BC10D3"/>
    <w:rsid w:val="00BD171E"/>
    <w:rsid w:val="00BD3D78"/>
    <w:rsid w:val="00C06AF3"/>
    <w:rsid w:val="00C06EF0"/>
    <w:rsid w:val="00C1444A"/>
    <w:rsid w:val="00C33CEB"/>
    <w:rsid w:val="00C46202"/>
    <w:rsid w:val="00C71ECA"/>
    <w:rsid w:val="00C72092"/>
    <w:rsid w:val="00C912D3"/>
    <w:rsid w:val="00CA5365"/>
    <w:rsid w:val="00CA6B72"/>
    <w:rsid w:val="00CF25DB"/>
    <w:rsid w:val="00DA6E05"/>
    <w:rsid w:val="00DD11E7"/>
    <w:rsid w:val="00DD6275"/>
    <w:rsid w:val="00DF6BB6"/>
    <w:rsid w:val="00E42E5A"/>
    <w:rsid w:val="00E47BA9"/>
    <w:rsid w:val="00E51C6E"/>
    <w:rsid w:val="00E7677E"/>
    <w:rsid w:val="00E837ED"/>
    <w:rsid w:val="00EE61FA"/>
    <w:rsid w:val="00F4145D"/>
    <w:rsid w:val="00FC6DB9"/>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B445"/>
  <w15:chartTrackingRefBased/>
  <w15:docId w15:val="{CD2A1922-38F0-4B56-89EF-C0D62139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841</Words>
  <Characters>3955</Characters>
  <Application>Microsoft Office Word</Application>
  <DocSecurity>0</DocSecurity>
  <Lines>73</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6</cp:revision>
  <dcterms:created xsi:type="dcterms:W3CDTF">2019-09-28T00:19:00Z</dcterms:created>
  <dcterms:modified xsi:type="dcterms:W3CDTF">2019-10-02T17:10:00Z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b2ee1ab5-a7a3-451c-af76-8446bf3c07b0</vt:lpwstr>
  </property>
  <property fmtid="{D5CDD505-2E9C-101B-9397-08002B2CF9AE}" pid="3" name="CTP_TimeStamp">
    <vt:lpwstr>2019-10-02 17:10:55Z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